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34E" w:rsidRDefault="00EF6FBA">
      <w:pPr>
        <w:spacing w:line="560" w:lineRule="exact"/>
        <w:jc w:val="both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关于落实财政部《政府采购需求管理办法》的通知</w:t>
      </w:r>
    </w:p>
    <w:p w:rsidR="00C9134E" w:rsidRDefault="00C9134E">
      <w:pPr>
        <w:spacing w:line="560" w:lineRule="exact"/>
        <w:ind w:firstLineChars="200" w:firstLine="400"/>
        <w:rPr>
          <w:rFonts w:eastAsiaTheme="minorEastAsia"/>
          <w:sz w:val="20"/>
          <w:szCs w:val="20"/>
          <w:lang w:eastAsia="zh-CN"/>
        </w:rPr>
      </w:pPr>
    </w:p>
    <w:p w:rsidR="00C9134E" w:rsidRDefault="00EF6FB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校内各二级单位、有关用户：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为贯彻落实财政部《政府采购需求管理办法》（财库〔</w:t>
      </w:r>
      <w:r>
        <w:rPr>
          <w:rFonts w:eastAsia="方正仿宋_GBK"/>
          <w:sz w:val="32"/>
          <w:szCs w:val="32"/>
          <w:lang w:eastAsia="zh-CN"/>
        </w:rPr>
        <w:t>2021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〕</w:t>
      </w:r>
      <w:r>
        <w:rPr>
          <w:rFonts w:eastAsia="方正仿宋_GBK" w:hint="eastAsia"/>
          <w:sz w:val="32"/>
          <w:szCs w:val="32"/>
          <w:lang w:eastAsia="zh-CN"/>
        </w:rPr>
        <w:t>22</w:t>
      </w:r>
    </w:p>
    <w:p w:rsidR="00C9134E" w:rsidRDefault="00EF6FB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号，以下简称《办法》），根据广东省财政厅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《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关于进一步加强政府</w:t>
      </w:r>
    </w:p>
    <w:p w:rsidR="00C9134E" w:rsidRDefault="00EF6FB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采购需求管理工作的通知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》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（粤财采购函〔</w:t>
      </w:r>
      <w:r>
        <w:rPr>
          <w:rFonts w:eastAsia="方正仿宋_GBK" w:hint="eastAsia"/>
          <w:sz w:val="32"/>
          <w:szCs w:val="32"/>
          <w:lang w:eastAsia="zh-CN"/>
        </w:rPr>
        <w:t>2023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〕</w:t>
      </w:r>
      <w:r>
        <w:rPr>
          <w:rFonts w:eastAsia="方正仿宋_GBK" w:hint="eastAsia"/>
          <w:sz w:val="32"/>
          <w:szCs w:val="32"/>
          <w:lang w:eastAsia="zh-CN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号）要求，结合</w:t>
      </w:r>
    </w:p>
    <w:p w:rsidR="00C9134E" w:rsidRDefault="00EF6FB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学校实际情况，现就做好我校政府采购需求管理工作通知如下：</w:t>
      </w:r>
    </w:p>
    <w:p w:rsidR="00C9134E" w:rsidRDefault="00EF6FBA">
      <w:pPr>
        <w:spacing w:line="560" w:lineRule="exact"/>
        <w:ind w:firstLineChars="200" w:firstLine="640"/>
        <w:rPr>
          <w:rFonts w:eastAsiaTheme="minorEastAsia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一、政府采购需求管理范围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政府采购需求管理是指学校组织确定采购需求和编制采购实施计</w:t>
      </w:r>
    </w:p>
    <w:p w:rsidR="00C9134E" w:rsidRDefault="00EF6FB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划，并实施相关风险控制管理的活动。下列政府采购项目纳入政府采购需求管理范围：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（一）</w:t>
      </w:r>
      <w:r>
        <w:rPr>
          <w:rFonts w:eastAsia="方正仿宋_GBK" w:hint="eastAsia"/>
          <w:sz w:val="32"/>
          <w:szCs w:val="32"/>
          <w:lang w:eastAsia="zh-CN"/>
        </w:rPr>
        <w:t>400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万元或以上的货物、服务采购项目，</w:t>
      </w:r>
      <w:r>
        <w:rPr>
          <w:rFonts w:eastAsia="方正仿宋_GBK" w:hint="eastAsia"/>
          <w:sz w:val="32"/>
          <w:szCs w:val="32"/>
          <w:lang w:eastAsia="zh-CN"/>
        </w:rPr>
        <w:t>3000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万元或以上的工程采购项目；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（二）涉及公共利益、社会关注度较高的采购项目，包括政府向</w:t>
      </w:r>
    </w:p>
    <w:p w:rsidR="00C9134E" w:rsidRDefault="00EF6FB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社会公众提供的公共服务项目等；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（三）技术复杂、专业性较强的项目，包括需定制开发的信息化</w:t>
      </w:r>
    </w:p>
    <w:p w:rsidR="00C9134E" w:rsidRDefault="00EF6FB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建设项目、采购进口产品的项目等；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（四）学校认为需要开展需求调查的其他采购项目。</w:t>
      </w:r>
    </w:p>
    <w:p w:rsidR="00C9134E" w:rsidRDefault="00EF6FBA">
      <w:pPr>
        <w:spacing w:line="560" w:lineRule="exact"/>
        <w:ind w:firstLineChars="200" w:firstLine="640"/>
        <w:rPr>
          <w:rFonts w:eastAsiaTheme="minorEastAsia"/>
          <w:sz w:val="20"/>
          <w:szCs w:val="20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二、政府采购需求管理程序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（一）开展需求调查。需求调查是指在确定采购需求前，通过市</w:t>
      </w:r>
    </w:p>
    <w:p w:rsidR="00C9134E" w:rsidRDefault="00EF6FB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场调研、咨询、论证等方式开展调查，了解相关产业发展、市场供给、同类采购项目历史成交信息，可能涉及的运行维护、升级更新、备品备件、耗材等后续采购，以及其他相关情况。面向市场主体开展需求调查时，选择的调查对象一般不少于</w:t>
      </w:r>
      <w:r>
        <w:rPr>
          <w:rFonts w:eastAsia="方正仿宋_GBK" w:hint="eastAsia"/>
          <w:sz w:val="32"/>
          <w:szCs w:val="32"/>
          <w:lang w:eastAsia="zh-CN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个，并应当具有代表性。需求调查由使用单位负责开展（也可委托第三方机构进行），具体要求见附件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：《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广州体育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学院政府采购项目采购需求调查报告》。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lastRenderedPageBreak/>
        <w:t>（二）编制采购需求。采购需求是指学校为实现项目目标，拟采</w:t>
      </w:r>
    </w:p>
    <w:p w:rsidR="00C9134E" w:rsidRDefault="00EF6FBA">
      <w:pPr>
        <w:spacing w:line="560" w:lineRule="exact"/>
        <w:rPr>
          <w:rFonts w:eastAsiaTheme="minorEastAsia"/>
          <w:sz w:val="20"/>
          <w:szCs w:val="20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购的标的及其需要满足的技术、商务要求。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技术要求：是指对采购标的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的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功能和质量要求，包括性能、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材</w:t>
      </w:r>
    </w:p>
    <w:p w:rsidR="00C9134E" w:rsidRDefault="00EF6FB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料、结构、外观、安全，或者服务内容和标准等。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商务要求：是指取得采购标的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的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时间、地点、财务和服务要求，</w:t>
      </w:r>
    </w:p>
    <w:p w:rsidR="00C9134E" w:rsidRDefault="00EF6FB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包括交付（实施）的时间（期限）和地点（范围），付款条件（进度和方式），包装和运输，售后服务，保险等。采购需求应当符合法律法规、政府采购政策和国家有关规定，符合国家强制性标准，遵循预算、资产和财务等相关管理制度规定，符合采购项目特点和实际需要。采购需求由使用单位负责编制并承担主体责任，采购项目经费归口管理部门负责指导、审核，具体要求见附件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：《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广州体育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学院政府采购项目采购需求书》。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（三）编制采购实施计划。采购实施计划是指围绕实现采购需求，</w:t>
      </w:r>
    </w:p>
    <w:p w:rsidR="00C9134E" w:rsidRDefault="00EF6FB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对合同的订立和管理所做的安排，包括以下内容：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合同订立安排：包括采购项目预（概）算、最高限价，开展采</w:t>
      </w:r>
    </w:p>
    <w:p w:rsidR="00C9134E" w:rsidRDefault="00EF6FB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购活动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的时间安排，采购组织形式和委托代理安排，采购包划分与合</w:t>
      </w:r>
    </w:p>
    <w:p w:rsidR="00C9134E" w:rsidRDefault="00EF6FB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同分包，供应商资格条件，采购方式、竞争范围和评审规则等。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合同管理安排：包括合同类型、定价方式、合同文本的主要条款、履约验收方案、风险管控措施等。采购实施计划由使用单位和招投标采购中心共同负责编制，采购项目经费归口管理部门、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规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法部门、财务部门予以必要协助，要求见附件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：《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广州体育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学院政府采购项目实施计划》。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（四）审查采购需求和采购实施计划。针对采购需求管理中的重点风险事项，学校对采购需求和采购实施计划进行审查，审查不通过的项目，应当修改采购需求和采购实施计划并重新开展审查，否则不予采购。审查分为一般性审查和重点审查。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lastRenderedPageBreak/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.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一般性审查。审查内容包括：采购需求是否符合预算、资产、</w:t>
      </w:r>
    </w:p>
    <w:p w:rsidR="00C9134E" w:rsidRDefault="00EF6FBA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财务等管理制度规定；对采购方式、评审规则、合同类型、定价方式的选择是否说明适用理由；属于按规定需要报相关监管部门批准、核准的事项，是否作出相关安排；采购实施计划是否完整。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一般性审查由采购项目经费归口管理部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门组织，具体要求见附件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：《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广州体育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学院政府采购项目采购需求和采购实施计划一般性审查意见书》。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重点审查。重点审查是在一般性审查的基础上，进行以下内容的审查：非歧视性审查、竞争性审查、采购政策审查、履约风险审查等。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重点审查由招投标采购中心组织，可根据实际情况邀请校外相关专家和第三方机构人员参与。具体要求见附件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：《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广州体育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学院政府采购项目采购需求和采购实施计划重点审查意见书》。</w:t>
      </w:r>
    </w:p>
    <w:p w:rsidR="00C9134E" w:rsidRDefault="00EF6FBA">
      <w:pPr>
        <w:spacing w:line="560" w:lineRule="exact"/>
        <w:ind w:firstLineChars="200" w:firstLine="640"/>
        <w:rPr>
          <w:rFonts w:eastAsiaTheme="minorEastAsia"/>
          <w:sz w:val="20"/>
          <w:szCs w:val="20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三、工作要求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（一）提高思想认识。加强政府采购需求管理是加强政府采购源头管控、提高政府采购质量和效率的重要抓手，对于执行政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府采购预算、发挥采购政策功能、防控廉政风险具有重要作用。各使用单位和相关职能部门要高度重视，充分认识需求管理的重要性，准确把握政府采购需求管理目标要求，规范采购行为。</w:t>
      </w:r>
    </w:p>
    <w:p w:rsidR="00C9134E" w:rsidRDefault="00EF6FB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lang w:eastAsia="zh-CN"/>
        </w:rPr>
        <w:sectPr w:rsidR="00C9134E">
          <w:pgSz w:w="11920" w:h="16845"/>
          <w:pgMar w:top="1237" w:right="1130" w:bottom="665" w:left="1140" w:header="0" w:footer="0" w:gutter="0"/>
          <w:cols w:space="720" w:equalWidth="0">
            <w:col w:w="9640"/>
          </w:cols>
        </w:sectPr>
      </w:pP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（二）压实主体责任。使用单位要严格按照上级有关文件规定和学校有关内控制度要求，科学开展需求调查，合理编制采购需求，对采购需求的合法性、合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规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性、合理性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负主体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责任。采购预算归口管理部门负责审查本部门预算安排项目的采购需求。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采购与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招投标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  <w:lang w:eastAsia="zh-CN"/>
        </w:rPr>
        <w:t>中心负责对采购需求管理进行指导和监督。</w:t>
      </w:r>
    </w:p>
    <w:p w:rsidR="00EF6FBA" w:rsidRDefault="00EF6FBA">
      <w:pPr>
        <w:spacing w:line="560" w:lineRule="exact"/>
        <w:rPr>
          <w:rFonts w:eastAsiaTheme="minorEastAsia"/>
          <w:sz w:val="22"/>
          <w:szCs w:val="22"/>
          <w:lang w:eastAsia="zh-CN"/>
        </w:rPr>
      </w:pPr>
      <w:bookmarkStart w:id="0" w:name="page2_20"/>
      <w:bookmarkEnd w:id="0"/>
    </w:p>
    <w:p w:rsidR="00EF6FBA" w:rsidRPr="00EF6FBA" w:rsidRDefault="00EF6FBA" w:rsidP="00EF6FBA">
      <w:pPr>
        <w:rPr>
          <w:rFonts w:eastAsiaTheme="minorEastAsia"/>
          <w:sz w:val="22"/>
          <w:szCs w:val="22"/>
          <w:lang w:eastAsia="zh-CN"/>
        </w:rPr>
      </w:pPr>
    </w:p>
    <w:p w:rsidR="00EF6FBA" w:rsidRPr="00EF6FBA" w:rsidRDefault="00EF6FBA" w:rsidP="00EF6FBA">
      <w:pPr>
        <w:rPr>
          <w:rFonts w:eastAsiaTheme="minorEastAsia"/>
          <w:sz w:val="22"/>
          <w:szCs w:val="22"/>
          <w:lang w:eastAsia="zh-CN"/>
        </w:rPr>
      </w:pPr>
    </w:p>
    <w:p w:rsidR="00EF6FBA" w:rsidRDefault="00EF6FBA" w:rsidP="00EF6FBA">
      <w:pPr>
        <w:rPr>
          <w:rFonts w:eastAsiaTheme="minorEastAsia"/>
          <w:sz w:val="22"/>
          <w:szCs w:val="22"/>
          <w:lang w:eastAsia="zh-CN"/>
        </w:rPr>
      </w:pPr>
    </w:p>
    <w:p w:rsidR="00EF6FBA" w:rsidRDefault="00EF6FBA" w:rsidP="00EF6FBA">
      <w:pPr>
        <w:tabs>
          <w:tab w:val="left" w:pos="1350"/>
        </w:tabs>
        <w:rPr>
          <w:rFonts w:eastAsiaTheme="minorEastAsia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ab/>
      </w:r>
      <w:bookmarkStart w:id="1" w:name="_GoBack"/>
      <w:bookmarkEnd w:id="1"/>
    </w:p>
    <w:p w:rsidR="00C9134E" w:rsidRPr="00EF6FBA" w:rsidRDefault="00EF6FBA" w:rsidP="00EF6FBA">
      <w:pPr>
        <w:tabs>
          <w:tab w:val="left" w:pos="1350"/>
        </w:tabs>
        <w:rPr>
          <w:rFonts w:eastAsiaTheme="minorEastAsia"/>
          <w:sz w:val="22"/>
          <w:szCs w:val="22"/>
          <w:lang w:eastAsia="zh-CN"/>
        </w:rPr>
        <w:sectPr w:rsidR="00C9134E" w:rsidRPr="00EF6FBA">
          <w:pgSz w:w="11920" w:h="16845"/>
          <w:pgMar w:top="1230" w:right="1130" w:bottom="665" w:left="1140" w:header="0" w:footer="0" w:gutter="0"/>
          <w:cols w:space="720" w:equalWidth="0">
            <w:col w:w="9640"/>
          </w:cols>
        </w:sectPr>
      </w:pPr>
      <w:r>
        <w:rPr>
          <w:rFonts w:eastAsiaTheme="minorEastAsia"/>
          <w:sz w:val="22"/>
          <w:szCs w:val="22"/>
          <w:lang w:eastAsia="zh-CN"/>
        </w:rPr>
        <w:tab/>
      </w:r>
    </w:p>
    <w:p w:rsidR="00C9134E" w:rsidRDefault="00C9134E">
      <w:pPr>
        <w:spacing w:line="560" w:lineRule="exact"/>
        <w:jc w:val="both"/>
        <w:rPr>
          <w:rFonts w:eastAsiaTheme="minorEastAsia"/>
          <w:sz w:val="20"/>
          <w:szCs w:val="20"/>
          <w:lang w:eastAsia="zh-CN"/>
        </w:rPr>
      </w:pPr>
      <w:bookmarkStart w:id="2" w:name="page1_20"/>
      <w:bookmarkEnd w:id="2"/>
    </w:p>
    <w:sectPr w:rsidR="00C91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iZWRlMDQ3ZGUxYmRlODNjZmQ5OTE2ZWMwY2YxZjcifQ=="/>
  </w:docVars>
  <w:rsids>
    <w:rsidRoot w:val="4408098D"/>
    <w:rsid w:val="00C9134E"/>
    <w:rsid w:val="00EF6FBA"/>
    <w:rsid w:val="213304C9"/>
    <w:rsid w:val="26B66697"/>
    <w:rsid w:val="39B75EE6"/>
    <w:rsid w:val="3F994362"/>
    <w:rsid w:val="4408098D"/>
    <w:rsid w:val="5146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313F2F"/>
  <w15:docId w15:val="{F41EC2A6-DDF1-4430-80E3-117AEEFC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好好好</cp:lastModifiedBy>
  <cp:revision>2</cp:revision>
  <dcterms:created xsi:type="dcterms:W3CDTF">2024-12-20T03:12:00Z</dcterms:created>
  <dcterms:modified xsi:type="dcterms:W3CDTF">2025-04-24T10:10:00Z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4AA3BF236A9D49FCBFD6CBECEC55AF4F</vt:lpwstr>
  </property>
</Properties>
</file>