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85881">
      <w:pPr>
        <w:pStyle w:val="10"/>
        <w:jc w:val="center"/>
        <w:rPr>
          <w:rFonts w:ascii="Times New Roman" w:hAnsi="Times New Roman" w:cs="Times New Roman"/>
          <w:sz w:val="32"/>
          <w:szCs w:val="32"/>
        </w:rPr>
      </w:pPr>
      <w:bookmarkStart w:id="0" w:name="_GoBack"/>
      <w:r>
        <w:rPr>
          <w:rFonts w:ascii="Times New Roman" w:hAnsi="Times New Roman" w:cs="Times New Roman"/>
          <w:sz w:val="44"/>
          <w:szCs w:val="44"/>
        </w:rPr>
        <w:t>中华人民共和国招标投标法实施条例</w:t>
      </w:r>
    </w:p>
    <w:bookmarkEnd w:id="0"/>
    <w:p w14:paraId="40711E4D">
      <w:pPr>
        <w:pStyle w:val="10"/>
        <w:jc w:val="center"/>
        <w:rPr>
          <w:rFonts w:ascii="Times New Roman" w:hAnsi="Times New Roman" w:cs="Times New Roman"/>
          <w:sz w:val="32"/>
          <w:szCs w:val="32"/>
        </w:rPr>
      </w:pPr>
    </w:p>
    <w:p w14:paraId="1173CE11">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w:t>
      </w:r>
      <w:r>
        <w:rPr>
          <w:rFonts w:ascii="Times New Roman" w:hAnsi="Times New Roman" w:eastAsia="楷体_GB2312" w:cs="Times New Roman"/>
          <w:spacing w:val="-11"/>
          <w:sz w:val="32"/>
          <w:szCs w:val="32"/>
        </w:rPr>
        <w:t>2011年12月20日中华人民共和国国务院令第613号公布　</w:t>
      </w:r>
      <w:r>
        <w:rPr>
          <w:rFonts w:ascii="Times New Roman" w:hAnsi="Times New Roman" w:eastAsia="楷体_GB2312" w:cs="Times New Roman"/>
          <w:sz w:val="32"/>
          <w:szCs w:val="32"/>
        </w:rPr>
        <w:t>根据2017年3月1日《国务院关于修改和废止部分行政法规的决定》第一次修订　根据2018年3月19日《国务院关于修改和废止部分行政法规的决定》第二次修订　根据2019年3月2日《国务院关于修改部分行政法规的决定》第三次修订)</w:t>
      </w:r>
    </w:p>
    <w:p w14:paraId="149B22CD">
      <w:pPr>
        <w:pStyle w:val="3"/>
        <w:rPr>
          <w:sz w:val="32"/>
          <w:szCs w:val="32"/>
        </w:rPr>
      </w:pPr>
      <w:r>
        <w:rPr>
          <w:rFonts w:ascii="Times New Roman" w:hAnsi="Times New Roman" w:cs="Times New Roman"/>
          <w:sz w:val="32"/>
          <w:szCs w:val="32"/>
        </w:rPr>
        <w:t>第一章　总则</w:t>
      </w:r>
    </w:p>
    <w:p w14:paraId="6B673F07">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为了规范招标投标活动，根据《中华人民共和国招标投标法》(以下简称招标投标法)，制定本条例。</w:t>
      </w:r>
    </w:p>
    <w:p w14:paraId="3898198C">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招标投标法第三条所称工程建设项目，是指工程以及与工程建设有关的货物、服务。</w:t>
      </w:r>
    </w:p>
    <w:p w14:paraId="2B3CD3E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14:paraId="145F3ECA">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依法必须进行招标的工程建设项目的具体范围和规模标准，由国务院发展改革部门会同国务院有关部门制订，报国务院批准后公布施行。</w:t>
      </w:r>
    </w:p>
    <w:p w14:paraId="1BCB029F">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国务院发展改革部门指导和协调全国招标投标工作，对国家重大</w:t>
      </w:r>
      <w:r>
        <w:rPr>
          <w:rFonts w:ascii="Times New Roman" w:hAnsi="Times New Roman" w:eastAsia="仿宋_GB2312" w:cs="Times New Roman"/>
          <w:spacing w:val="6"/>
          <w:sz w:val="32"/>
          <w:szCs w:val="32"/>
        </w:rPr>
        <w:t>建设项目的工程招标投标活动实施监督检查。国务院工业和信息化、住房城乡建设、交通运输、铁道、水利、商务等部门，按照规定的职责分工对有关</w:t>
      </w:r>
      <w:r>
        <w:rPr>
          <w:rFonts w:ascii="Times New Roman" w:hAnsi="Times New Roman" w:eastAsia="仿宋_GB2312" w:cs="Times New Roman"/>
          <w:sz w:val="32"/>
          <w:szCs w:val="32"/>
        </w:rPr>
        <w:t>招标投标活动实施监督。</w:t>
      </w:r>
    </w:p>
    <w:p w14:paraId="489C696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14:paraId="0CC7CEB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财政部门依法对实行招标投标的政府采购工程建设项目的政府采购政策执行情况实施监督。</w:t>
      </w:r>
    </w:p>
    <w:p w14:paraId="795386B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监察机关依法对与招标投标活动有关的监察对象实施监察。</w:t>
      </w:r>
    </w:p>
    <w:p w14:paraId="436F372F">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设区的市级以上地方人民政府可以根据实际需要，建立统一规范的招标投标交易场所，为招标投标活动提供服务。招标投标交易场所不得与行政监督部门存在隶属关系，不得以营利为目的。</w:t>
      </w:r>
    </w:p>
    <w:p w14:paraId="5E73DEB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国家鼓励利用信息网络进行电子招标投标。</w:t>
      </w:r>
    </w:p>
    <w:p w14:paraId="213D7DF7">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禁止国家工作人员以任何方式非法干涉招标投标活动。</w:t>
      </w:r>
    </w:p>
    <w:p w14:paraId="58447FD7">
      <w:pPr>
        <w:pStyle w:val="3"/>
        <w:bidi w:val="0"/>
      </w:pPr>
      <w:r>
        <w:t>第二章　招标</w:t>
      </w:r>
    </w:p>
    <w:p w14:paraId="5484F80B">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p>
    <w:p w14:paraId="2B9AD6CB">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国有资金占控股或者主导地位的依法必须进行招标的项目，应当公开招标；但有下列情形之一的，可以邀请招标：</w:t>
      </w:r>
    </w:p>
    <w:p w14:paraId="7EA8E3E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(一)技术复杂、有特殊要求或者受自然环境限制，只有少量潜在投标人可供选择；</w:t>
      </w:r>
    </w:p>
    <w:p w14:paraId="36DCA59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(二)采用公开招标方式的费用占项目合同金额的比例过大。</w:t>
      </w:r>
    </w:p>
    <w:p w14:paraId="1109C3F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有前款第二项所列情形，属于本条例第七条规定的项目，由项目审批、核准部门在审批、核准项目时作出认定；其他项目由招标人申请有关行政监督部门作出认定。</w:t>
      </w:r>
    </w:p>
    <w:p w14:paraId="75CF63A3">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除招标投标法第六十六条规定的可以不进行招标的特殊情况外，有下列情形之一的，可以不进行招标：</w:t>
      </w:r>
    </w:p>
    <w:p w14:paraId="5C1C3FA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(一)需要采用不可替代的专利或者专有技术；</w:t>
      </w:r>
    </w:p>
    <w:p w14:paraId="10C769F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(二)采购人依法能够自行建设、生产或者提供；</w:t>
      </w:r>
    </w:p>
    <w:p w14:paraId="41433BA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(三)已通过招标方式选定的特许经营项目投资人依法能够自行建设、生产或者提供；</w:t>
      </w:r>
    </w:p>
    <w:p w14:paraId="77B43CC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(四)需要向原中标人采购工程、货物或者服务，否则将影响施工或者功能配套要求；</w:t>
      </w:r>
    </w:p>
    <w:p w14:paraId="3BCB327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(五)国家规定的其他特殊情形。</w:t>
      </w:r>
    </w:p>
    <w:p w14:paraId="799D50F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招标人为适用前款规定弄虚作假的，属于招标投标法第四条规定的规避招标。</w:t>
      </w:r>
    </w:p>
    <w:p w14:paraId="646DA863">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招标投标法第十二条第二款规定的招标人具有编制招标文件和组织评标能力，是指招标人具有与招标项目规模和复杂程度相适应的技术、经济等方面的专业人员。</w:t>
      </w:r>
    </w:p>
    <w:p w14:paraId="6EBD1AB6">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国务院住房城乡建设、商务、发展改革、工业和信息化等部门，按照规定的职责分工对招标代理机构依法实施监督管理。</w:t>
      </w:r>
    </w:p>
    <w:p w14:paraId="2631D087">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招标代理机构应当拥有一定数量的具备编制招标文件、组织评标等相应能力的专业人员。</w:t>
      </w:r>
    </w:p>
    <w:p w14:paraId="371AB5E6">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招标代理机构在招标人委托的范围内开展招标代理业务，任何单位和个人不得非法干涉。</w:t>
      </w:r>
    </w:p>
    <w:p w14:paraId="79072A8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招标代理机构代理招标业务，应当遵守招标投标法和本条例关于招标人的规定。招标代理机构不得在所代理的招标项目中投标或者代理投标，也不得为所代理的招标项目的投标人提供咨询。</w:t>
      </w:r>
    </w:p>
    <w:p w14:paraId="3241898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招标人应当与被委托的招标代理机构签订书面委托合同，合同约定的收费标准应当符合国家有关规定。</w:t>
      </w:r>
    </w:p>
    <w:p w14:paraId="5EC57F28">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公开招标的项目，应当依照招标投标法和本条例的规定发布招标公告、编制招标文件。</w:t>
      </w:r>
    </w:p>
    <w:p w14:paraId="0B84112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招标人采用资格预审办法对潜在投标人进行资格审查的，应当发布资格预审公告、编制资格预审文件。</w:t>
      </w:r>
    </w:p>
    <w:p w14:paraId="194AE18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p>
    <w:p w14:paraId="3091255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编制依法必须进行招标的项目的资格预审文件和招标文件，应当使用国务院发展改革部门会同有关行政监督部门制定的标准文本。</w:t>
      </w:r>
    </w:p>
    <w:p w14:paraId="52509CC2">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招标人应当按照资格预审公告、招标公告或者投标邀请书规定的时间、地点发售资格预审文件或者招标文件。资格预审文件或者招标文件的发售期不得少于5日。</w:t>
      </w:r>
    </w:p>
    <w:p w14:paraId="7BF68A7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招标人发售资格预审文件、招标文件收取的费用应当限于补偿印刷、邮寄的成本支出，不得以营利为目的。</w:t>
      </w:r>
    </w:p>
    <w:p w14:paraId="6A518D46">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招标人应当合理确定提交资格预审申请文件的时间。依法必须进行招标的项目提交资格预审申请文件的时间，自资格预审文件停止发售之日起不得少于5日。</w:t>
      </w:r>
    </w:p>
    <w:p w14:paraId="023634DC">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资格预审应当按照资格预审文件载明的标准和方法进行。</w:t>
      </w:r>
    </w:p>
    <w:p w14:paraId="11604C6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国有资金占控股或者主导地位的依法必须进行招标的项目，招标人应当组建资格审查委员会审查资格预审申请文件。资格审查委员会及其成员应当遵守招标投标法和本条例有关评标委员会及其成员的规定。</w:t>
      </w:r>
    </w:p>
    <w:p w14:paraId="442EFA9B">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资格预审结束后，招标人应当及时向资格预审申请人发出资格预审结果通知书。未通过资格预审的申请人不具有投标资格。</w:t>
      </w:r>
    </w:p>
    <w:p w14:paraId="6B6BC1B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通过资格预审的申请人少于3个的，应当重新招标。</w:t>
      </w:r>
    </w:p>
    <w:p w14:paraId="6A966C7B">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招标人采用资格后审办法对投标人进行资格审查的，应当在开标后由评标委员会按照招标文件规定的标准和方法对投标人的资格进行审查。</w:t>
      </w:r>
    </w:p>
    <w:p w14:paraId="5CD617C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w:t>
      </w:r>
    </w:p>
    <w:p w14:paraId="0A441350">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潜在投标人或者其他利害关系人对资格预审文件有异议的，应当在提交资格预审申请文件截止时间2日前提出；对招标文件有异议的，应当在投标截止时间10日前提出。招标人应当自收到异议之日起3日内作出答复；作出答复前，应当暂停招标投标活动。</w:t>
      </w:r>
    </w:p>
    <w:p w14:paraId="170078CF">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14:paraId="78E90A8A">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招标人对招标项目划分标段的，应当遵守招标投标法的有关规定，不得利用划分标段限制或者排斥潜在投标人。依法必须进行招标的项目的招标人不得利用划分标段规避招标。</w:t>
      </w:r>
    </w:p>
    <w:p w14:paraId="7976A3BA">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招标人应当在招标文件中载明投标有效期。投标有效期从提交投标文件的截止之日起算。</w:t>
      </w:r>
    </w:p>
    <w:p w14:paraId="524D9172">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招标人在招标文件中要求投标人提交投标保证金的，投标保证金不得超过招标项目估算价的2%。投标保证金有效期应当与投标有效期一致。</w:t>
      </w:r>
    </w:p>
    <w:p w14:paraId="6024553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依法必须进行招标的项目的境内投标单位，以现金或者支票形式提交的投标保证金应当从其基本账户转出。</w:t>
      </w:r>
    </w:p>
    <w:p w14:paraId="22B4A54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招标人不得挪用投标保证金。</w:t>
      </w:r>
    </w:p>
    <w:p w14:paraId="1C112E25">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招标人可以自行决定是否编制标底。一个招标项目只能有一个标底。标底必须保密。</w:t>
      </w:r>
    </w:p>
    <w:p w14:paraId="099FCCA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接受委托编制标底的中介机构不得参加受托编制标底项目的投标，也不得为该项目的投标人编制投标文件或者提供咨询。</w:t>
      </w:r>
    </w:p>
    <w:p w14:paraId="7664A1F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招标人设有最高投标限价的，应当在招标文件中明确最高投标限价或者最高投标限价的计算方法。招标人不得规定最低投标限价。</w:t>
      </w:r>
    </w:p>
    <w:p w14:paraId="4CBAAF7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招标人不得组织单个或者部分潜在投标人踏勘项目现场。</w:t>
      </w:r>
    </w:p>
    <w:p w14:paraId="584D37CD">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招标人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p>
    <w:p w14:paraId="63F4A66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前款所称暂估价，是指总承包招标时不能确定价格而由招标人在招标文件中暂时估定的工程、货物、服务的金额。</w:t>
      </w:r>
    </w:p>
    <w:p w14:paraId="526872CB">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对技术复杂或者无法精确拟定技术规格的项目，招标人可以分两阶段进行招标。</w:t>
      </w:r>
    </w:p>
    <w:p w14:paraId="079070D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第一阶段，投标人按照招标公告或者投标邀请书的要求提交不带报价的技术建议，招标人根据投标人提交的技术建议确定技术标准和要求，编制招标文件。</w:t>
      </w:r>
    </w:p>
    <w:p w14:paraId="4D22443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第二阶段，招标人向在第一阶段提交技术建议的投标人提供招标文件，投标人按照招标文件的要求提交包括最终技术方案和投标报价的投标文件。</w:t>
      </w:r>
    </w:p>
    <w:p w14:paraId="0A26FF2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招标人要求投标人提交投标保证金的，应当在第二阶段提出。</w:t>
      </w:r>
    </w:p>
    <w:p w14:paraId="42ADB76C">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p>
    <w:p w14:paraId="6654A1CA">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招标人不得以不合理的条件限制、排斥潜在投标人或者投标人。</w:t>
      </w:r>
    </w:p>
    <w:p w14:paraId="157A469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招标人有下列行为之一的，属于以不合理条件限制、排斥潜在投标人或者投标人：</w:t>
      </w:r>
    </w:p>
    <w:p w14:paraId="0AEF37E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(一)就同一招标项目向潜在投标人或者投标人提供有差别的项目信息；</w:t>
      </w:r>
    </w:p>
    <w:p w14:paraId="54AC4E1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(二)设定的资格、技术、商务条件与招标项目的具体特点和实际需要不相适应或者与合同履行无关；</w:t>
      </w:r>
    </w:p>
    <w:p w14:paraId="6A2846B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(三)依法必须进行招标的项目以特定行政区域或者特定行业的业绩、奖项作为加分条件或者中标条件；</w:t>
      </w:r>
    </w:p>
    <w:p w14:paraId="2F9EB7C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(四)对潜在投标人或者投标人采取不同的资格审查或者评标标准；</w:t>
      </w:r>
    </w:p>
    <w:p w14:paraId="7DF3123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(五)限定或者指定特定的专利、商标、品牌、原产地或者供应商；</w:t>
      </w:r>
    </w:p>
    <w:p w14:paraId="3B89479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(六)依法必须进行招标的项目非法限定潜在投标人或者投标人的所有制形式或者组织形式；</w:t>
      </w:r>
    </w:p>
    <w:p w14:paraId="1143133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(七)以其他不合理条件限制、排斥潜在投标人或者投标人。</w:t>
      </w:r>
    </w:p>
    <w:p w14:paraId="430CF513">
      <w:pPr>
        <w:pStyle w:val="3"/>
        <w:bidi w:val="0"/>
      </w:pPr>
      <w:r>
        <w:t>第三章　投标</w:t>
      </w:r>
    </w:p>
    <w:p w14:paraId="7FD6AB3C">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投标人参加依法必须进行招标的项目的投标，不受地区或者部门的限制，任何单位和个人不得非法干涉。</w:t>
      </w:r>
    </w:p>
    <w:p w14:paraId="43EED761">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与招标人存在利害关系可能影响招标公正性的法人、其他组织或者个人，不得参加投标。</w:t>
      </w:r>
    </w:p>
    <w:p w14:paraId="5D0CAB5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单位负责人为同一人或者存在控股、管理关系的不同单位，不得参加同一标段投标或者未划分标段的同一招标项目投标。</w:t>
      </w:r>
    </w:p>
    <w:p w14:paraId="74415E4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违反前两款规定的，相关投标均无效。</w:t>
      </w:r>
    </w:p>
    <w:p w14:paraId="0D9551C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投标人撤回已提交的投标文件，应当在投标截止时间前书面通知招标人。招标人已收取投标保证金的，应当自收到投标人书面撤回通知之日起5日内退还。</w:t>
      </w:r>
    </w:p>
    <w:p w14:paraId="79BF9A5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投标截止后投标人撤销投标文件的，招标人可以不退还投标保证金。</w:t>
      </w:r>
    </w:p>
    <w:p w14:paraId="2CC0BA84">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未通过资格预审的申请人提交的投标文件，以及逾期送达或者不按照招标文件要求密封的投标文件，招标人应当拒收。</w:t>
      </w:r>
    </w:p>
    <w:p w14:paraId="2DF077A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招标人应当如实记载投标文件的送达时间和密封情况，并存档备查。</w:t>
      </w:r>
    </w:p>
    <w:p w14:paraId="5D538D14">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招标人应当在资格预审公告、招标公告或者投标邀请书中载明是否接受联合体投标。</w:t>
      </w:r>
    </w:p>
    <w:p w14:paraId="56DCED1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招标人接受联合体投标并进行资格预审的，联合体应当在提交资格预审申请文件前组成。资格预审后联合体增减、更换成员的，其投标无效。</w:t>
      </w:r>
    </w:p>
    <w:p w14:paraId="7EA1DD9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联合体各方在同一招标项目中以自己名义单独投标或者参加其他联合体投标的，相关投标均无效。</w:t>
      </w:r>
    </w:p>
    <w:p w14:paraId="6E22CB2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投标人发生合并、分立、破产等重大变化的，应当及时书面告知招标人。投标人不再具备资格预审文件、招标文件规定的资格条件或者其投标影响招标公正性的，其投标无效。</w:t>
      </w:r>
    </w:p>
    <w:p w14:paraId="51CBF4AF">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禁止投标人相互串通投标。</w:t>
      </w:r>
    </w:p>
    <w:p w14:paraId="56BD10B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有下列情形之一的，属于投标人相互串通投标：</w:t>
      </w:r>
    </w:p>
    <w:p w14:paraId="174BA90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(一)投标人之间协商投标报价等投标文件的实质性内容；</w:t>
      </w:r>
    </w:p>
    <w:p w14:paraId="7BCE20B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(二)投标人之间约定中标人；</w:t>
      </w:r>
    </w:p>
    <w:p w14:paraId="6FFB54C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(三)投标人之间约定部分投标人放弃投标或者中标；</w:t>
      </w:r>
    </w:p>
    <w:p w14:paraId="24B8296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(四)属于同一集团、协会、商会等组织成员的投标人按照该组织要求协同投标；</w:t>
      </w:r>
    </w:p>
    <w:p w14:paraId="5F342E8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(五)投标人之间为谋取中标或者排斥特定投标人而采取的其他联合行动。</w:t>
      </w:r>
    </w:p>
    <w:p w14:paraId="0E9CA78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有下列情形之一的，视为投标人相互串通投标：</w:t>
      </w:r>
    </w:p>
    <w:p w14:paraId="6FCDC737">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(一)不同投标人的投标文件由同一单位或者个人编制；</w:t>
      </w:r>
    </w:p>
    <w:p w14:paraId="055D540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(二)不同投标人委托同一单位或者个人办理投标事宜；</w:t>
      </w:r>
    </w:p>
    <w:p w14:paraId="4F2F208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(三)不同投标人的投标文件载明的项目管理成员为同一人；</w:t>
      </w:r>
    </w:p>
    <w:p w14:paraId="5D6E10C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(四)不同投标人的投标文件异常一致或者投标报价呈规律性差异；</w:t>
      </w:r>
    </w:p>
    <w:p w14:paraId="2C66D84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(五)不同投标人的投标文件相互混装；</w:t>
      </w:r>
    </w:p>
    <w:p w14:paraId="0CC6C1A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(六)不同投标人的投标保证金从同一单位或者个人的账户转出。</w:t>
      </w:r>
    </w:p>
    <w:p w14:paraId="3FC01215">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禁止招标人与投标人串通投标。</w:t>
      </w:r>
    </w:p>
    <w:p w14:paraId="01EC1AF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有下列情形之一的，属于招标人与投标人串通投标：</w:t>
      </w:r>
    </w:p>
    <w:p w14:paraId="3BAB270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(一)招标人在开标前开启投标文件并将有关信息泄露给其他投标人；</w:t>
      </w:r>
    </w:p>
    <w:p w14:paraId="09F25B9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(二)招标人直接或者间接向投标人泄露标底、评标委员会成员等信息；</w:t>
      </w:r>
    </w:p>
    <w:p w14:paraId="4A9FD1E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(三)招标人明示或者暗示投标人压低或者抬高投标报价；</w:t>
      </w:r>
    </w:p>
    <w:p w14:paraId="4FEFBC8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(四)招标人授意投标人撤换、修改投标文件；</w:t>
      </w:r>
    </w:p>
    <w:p w14:paraId="2C4AC4D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(五)招标人明示或者暗示投标人为特定投标人中标提供方便；</w:t>
      </w:r>
    </w:p>
    <w:p w14:paraId="3B4013E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(六)招标人与投标人为谋求特定投标人中标而采取的其他串通行为。</w:t>
      </w:r>
    </w:p>
    <w:p w14:paraId="42311ECF">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使用通过受让或者租借等方式获取的资格、资质证书投标的，属于招标投标法第三十三条规定的以他人名义投标。</w:t>
      </w:r>
    </w:p>
    <w:p w14:paraId="3FB41A9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投标人有下列情形之一的，属于招标投标法第三十三条规定的以其他方式弄虚作假的行为：</w:t>
      </w:r>
    </w:p>
    <w:p w14:paraId="7CDA02A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(一)使用伪造、变造的许可证件；</w:t>
      </w:r>
    </w:p>
    <w:p w14:paraId="44CCE1E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(二)提供虚假的财务状况或者业绩；</w:t>
      </w:r>
    </w:p>
    <w:p w14:paraId="71B724C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(三)提供虚假的项目负责人或者主要技术人员简历、劳动关系证明；</w:t>
      </w:r>
    </w:p>
    <w:p w14:paraId="05A14CC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(四)提供虚假的信用状况；</w:t>
      </w:r>
    </w:p>
    <w:p w14:paraId="794079E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(五)其他弄虚作假的行为。</w:t>
      </w:r>
    </w:p>
    <w:p w14:paraId="5FEF39ED">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提交资格预审申请文件的申请人应当遵守招标投标法和本条例有关投标人的规定。</w:t>
      </w:r>
    </w:p>
    <w:p w14:paraId="472A5A26">
      <w:pPr>
        <w:pStyle w:val="3"/>
        <w:bidi w:val="0"/>
      </w:pPr>
      <w:r>
        <w:t>第四章　开标、评标和中标</w:t>
      </w:r>
    </w:p>
    <w:p w14:paraId="773B472A">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招标人应当按照招标文件规定的时间、地点开标。</w:t>
      </w:r>
    </w:p>
    <w:p w14:paraId="5EA8F5F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投标人少于3个的，不得开标；招标人应当重新招标。</w:t>
      </w:r>
    </w:p>
    <w:p w14:paraId="2F03727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投标人对开标有异议的，应当在开标现场提出，招标人应当当场作出答复，并制作记录。</w:t>
      </w:r>
    </w:p>
    <w:p w14:paraId="06C9A718">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国家实行统一的评标专家专业分类标准和管理办法。具体标准和办法由国务院发展改革部门会同国务院有关部门制定。</w:t>
      </w:r>
    </w:p>
    <w:p w14:paraId="3CB9F57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省级人民政府和国务院有关部门应当组建综合评标专家库。</w:t>
      </w:r>
    </w:p>
    <w:p w14:paraId="44657705">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14:paraId="61EFC71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依法必须进行招标的项目的招标人非因招标投标法和本条例规定的事由，不得更换依法确定的评标委员会成员。更换评标委员会的专家成员应当依照前款规定进行。</w:t>
      </w:r>
    </w:p>
    <w:p w14:paraId="482F494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评标委员会成员与投标人有利害关系的，应当主动回避。</w:t>
      </w:r>
    </w:p>
    <w:p w14:paraId="1026744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有关行政监督部门应当按照规定的职责分工，对评标委员会成员的确定方式、评标专家的抽取和评标活动进行监督。行政监督部门的工作人员不得担任本部门负责监督项目的评标委员会成员。</w:t>
      </w:r>
    </w:p>
    <w:p w14:paraId="6F5B370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招标投标法第三十七条第三款所称特殊招标项目，是指技术复杂、专业性强或者国家有特殊要求，采取随机抽取方式确定的专家难以保证胜任评标工作的项目。</w:t>
      </w:r>
    </w:p>
    <w:p w14:paraId="322D4AB5">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招标人应当向评标委员会提供评标所必需的信息，但不得明示或者暗示其倾向或者排斥特定投标人。</w:t>
      </w:r>
    </w:p>
    <w:p w14:paraId="22F139B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招标人应当根据项目规模和技术复杂程度等因素合理确定评标时间。超过三分之一的评标委员会成员认为评标时间不够的，招标人应当适当延长。</w:t>
      </w:r>
    </w:p>
    <w:p w14:paraId="2D4A88A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评标过程中，评标委员会成员有回避事由、擅离职守或者因健康等原因不能继续评标的，应当及时更换。被更换的评标委员会成员作出的评审结论无效，由更换后的评标委员会成员重新进行评审。</w:t>
      </w:r>
    </w:p>
    <w:p w14:paraId="60ECC01A">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评标委员会成员应当依照招标投标法和本条例的规定，按照招标文件规定的评标标准和方法，客观、公正地对投标文件提出评审意见。招标文件没有规定的评标标准和方法不得作为评标的依据。</w:t>
      </w:r>
    </w:p>
    <w:p w14:paraId="225EF57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7822BA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招标项目设有标底的，招标人应当在开标时公布。标底只能作为评标的参考，不得以投标报价是否接近标底作为中标条件，也不得以投标报价超过标底上下浮动范围作为否决投标的条件。</w:t>
      </w:r>
    </w:p>
    <w:p w14:paraId="7408BE88">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有下列情形之一的，评标委员会应当否决其投标：</w:t>
      </w:r>
    </w:p>
    <w:p w14:paraId="6F978E9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(一)投标文件未经投标单位盖章和单位负责人签字；</w:t>
      </w:r>
    </w:p>
    <w:p w14:paraId="3BABB41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(二)投标联合体没有提交共同投标协议；</w:t>
      </w:r>
    </w:p>
    <w:p w14:paraId="7B8B9A1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(三)投标人不符合国家或者招标文件规定的资格条件；</w:t>
      </w:r>
    </w:p>
    <w:p w14:paraId="3C1D37E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(四)同一投标人提交两个以上不同的投标文件或者投标报价，但招标文件要求提交备选投标的除外；</w:t>
      </w:r>
    </w:p>
    <w:p w14:paraId="56486F4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(五)投标报价低于成本或者高于招标文件设定的最高投标限价；</w:t>
      </w:r>
    </w:p>
    <w:p w14:paraId="5ED0AA1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(六)投标文件没有对招标文件的实质性要求和条件作出响应；</w:t>
      </w:r>
    </w:p>
    <w:p w14:paraId="18C1443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(七)投标人有串通投标、弄虚作假、行贿等违法行为。</w:t>
      </w:r>
    </w:p>
    <w:p w14:paraId="22918A07">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p>
    <w:p w14:paraId="6A931487">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评标委员会不得暗示或者诱导投标人作出澄清、说明，不得接受投标人主动提出的澄清、说明。</w:t>
      </w:r>
    </w:p>
    <w:p w14:paraId="4D6F7A26">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评标完成后，评标委员会应当向招标人提交书面评标报告和中标候选人名单。中标候选人应当不超过3个，并标明排序。</w:t>
      </w:r>
    </w:p>
    <w:p w14:paraId="7C23071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01DEF07B">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依法必须进行招标的项目，招标人应当自收到评标报告之日起3日内公示中标候选人，公示期不得少于3日。</w:t>
      </w:r>
    </w:p>
    <w:p w14:paraId="527E89F7">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投标人或者其他利害关系人对依法必须进行招标的项目的评标结果有异议的，应当在中标候选人公示期间提出。招标人应当自收到异议之日起3日内作出答复；作出答复前，应当暂停招标投标活动。</w:t>
      </w:r>
    </w:p>
    <w:p w14:paraId="1571AC73">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0F56C142">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中标候选人的经营、财务状况发生较大变化或者存在违法行为，招标人认为可能影响其履约能力的，应当在发出中标通知书前由原评标委员会按照招标文件规定的标准和方法审查确认。</w:t>
      </w:r>
    </w:p>
    <w:p w14:paraId="4393F195">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　</w:t>
      </w:r>
      <w:r>
        <w:rPr>
          <w:rFonts w:ascii="Times New Roman" w:hAnsi="Times New Roman" w:eastAsia="仿宋_GB2312" w:cs="Times New Roman"/>
          <w:sz w:val="32"/>
          <w:szCs w:val="32"/>
        </w:rPr>
        <w:t>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14:paraId="5E7DC52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招标人最迟应当在书面合同签订后5日内向中标人和未中标的投标人退还投标保证金及银行同期存款利息。</w:t>
      </w:r>
    </w:p>
    <w:p w14:paraId="1EFE43EA">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　</w:t>
      </w:r>
      <w:r>
        <w:rPr>
          <w:rFonts w:ascii="Times New Roman" w:hAnsi="Times New Roman" w:eastAsia="仿宋_GB2312" w:cs="Times New Roman"/>
          <w:sz w:val="32"/>
          <w:szCs w:val="32"/>
        </w:rPr>
        <w:t>招标文件要求中标人提交履约保证金的，中标人应当按照招标文件的要求提交。履约保证金不得超过中标合同金额的10%。</w:t>
      </w:r>
    </w:p>
    <w:p w14:paraId="55D329E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　</w:t>
      </w:r>
      <w:r>
        <w:rPr>
          <w:rFonts w:ascii="Times New Roman" w:hAnsi="Times New Roman" w:eastAsia="仿宋_GB2312" w:cs="Times New Roman"/>
          <w:sz w:val="32"/>
          <w:szCs w:val="32"/>
        </w:rPr>
        <w:t>中标人应当按照合同约定履行义务，完成中标项目。中标人不得向他人转让中标项目，也不得将中标项目肢解后分别向他人转让。</w:t>
      </w:r>
    </w:p>
    <w:p w14:paraId="660B53E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中标人按照合同约定或者经招标人同意，可以将中标项目的部分非主体、非关键性工作分包给他人完成。接受分包的人应当具备相应的资格条件，并不得再次分包。</w:t>
      </w:r>
    </w:p>
    <w:p w14:paraId="7526013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中标人应当就分包项目向招标人负责，接受分包的人就分包项目承担连带责任。</w:t>
      </w:r>
    </w:p>
    <w:p w14:paraId="548E9835">
      <w:pPr>
        <w:pStyle w:val="3"/>
        <w:bidi w:val="0"/>
      </w:pPr>
      <w:r>
        <w:t>第五章　投诉与处理</w:t>
      </w:r>
    </w:p>
    <w:p w14:paraId="29C7D7C4">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　</w:t>
      </w:r>
      <w:r>
        <w:rPr>
          <w:rFonts w:ascii="Times New Roman" w:hAnsi="Times New Roman" w:eastAsia="仿宋_GB2312" w:cs="Times New Roman"/>
          <w:sz w:val="32"/>
          <w:szCs w:val="32"/>
        </w:rPr>
        <w:t>投标人或者其他利害关系人认为招标投标活动不符合法律、行政法规规定的，可以自知道或者应当知道之日起10日内向有关行政监督部门投诉。投诉应当有明确的请求和必要的证明材料。</w:t>
      </w:r>
    </w:p>
    <w:p w14:paraId="26D6FB1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就本条例第二十二条、第四十四条、第五十四条规定事项投诉的，应当先向招标人提出异议，异议答复期间不计算在前款规定的期限内。</w:t>
      </w:r>
    </w:p>
    <w:p w14:paraId="364E295D">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　</w:t>
      </w:r>
      <w:r>
        <w:rPr>
          <w:rFonts w:ascii="Times New Roman" w:hAnsi="Times New Roman" w:eastAsia="仿宋_GB2312" w:cs="Times New Roman"/>
          <w:sz w:val="32"/>
          <w:szCs w:val="32"/>
        </w:rPr>
        <w:t>投诉人就同一事项向两个以上有权受理的行政监督部门投诉的，由最先收到投诉的行政监督部门负责处理。</w:t>
      </w:r>
    </w:p>
    <w:p w14:paraId="3F82BCC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行政监督部门应当自收到投诉之日起3个工作日内决定是否受理投诉，并自受理投诉之日起30个工作日内作出书面处理决定；需要检验、检测、鉴定、专家评审的，所需时间不计算在内。</w:t>
      </w:r>
    </w:p>
    <w:p w14:paraId="188C448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投诉人捏造事实、伪造材料或者以非法手段取得证明材料进行投诉的，行政监督部门应当予以驳回。</w:t>
      </w:r>
    </w:p>
    <w:p w14:paraId="77E735C3">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　</w:t>
      </w:r>
      <w:r>
        <w:rPr>
          <w:rFonts w:ascii="Times New Roman" w:hAnsi="Times New Roman" w:eastAsia="仿宋_GB2312" w:cs="Times New Roman"/>
          <w:sz w:val="32"/>
          <w:szCs w:val="32"/>
        </w:rPr>
        <w:t>行政监督部门处理投诉，有权查阅、复制有关文件、资料，调查有关情况，相关单位和人员应当予以配合。必要时，行政监督部门可以责令暂停招标投标活动。</w:t>
      </w:r>
    </w:p>
    <w:p w14:paraId="341FFC7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行政监督部门的工作人员对监督检查过程中知悉的国家秘密、商业秘密，应当依法予以保密。</w:t>
      </w:r>
    </w:p>
    <w:p w14:paraId="0647F9D4">
      <w:pPr>
        <w:pStyle w:val="3"/>
        <w:bidi w:val="0"/>
      </w:pPr>
      <w:r>
        <w:t>第六章　法律责任</w:t>
      </w:r>
    </w:p>
    <w:p w14:paraId="71E53F18">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第六十三条　</w:t>
      </w:r>
      <w:r>
        <w:rPr>
          <w:rFonts w:ascii="Times New Roman" w:hAnsi="Times New Roman" w:eastAsia="仿宋_GB2312" w:cs="Times New Roman"/>
          <w:sz w:val="32"/>
          <w:szCs w:val="32"/>
        </w:rPr>
        <w:t>招标人有下列限制或者排斥潜在投标人行为之一的，由有关行政监督部门依照招标投标法第五十一条的规定处罚：</w:t>
      </w:r>
    </w:p>
    <w:p w14:paraId="3342DA7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(一)依法应当公开招标的项目不按照规定在指定媒介发布资格预审公告或者招标公告；</w:t>
      </w:r>
    </w:p>
    <w:p w14:paraId="530B07A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(二)在不同媒介发布的同一招标项目的资格预审公告或者招标公告的内容不一致，影响潜在投标人申请资格预审或者投标。</w:t>
      </w:r>
    </w:p>
    <w:p w14:paraId="64862A4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依法必须进行招标的项目的招标人不按照规定发布资格预审公告或者招标公告，构成规避招标的，依照招标投标法第四十九条的规定处罚。</w:t>
      </w:r>
    </w:p>
    <w:p w14:paraId="09C26672">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第六十四条　</w:t>
      </w:r>
      <w:r>
        <w:rPr>
          <w:rFonts w:ascii="Times New Roman" w:hAnsi="Times New Roman" w:eastAsia="仿宋_GB2312" w:cs="Times New Roman"/>
          <w:sz w:val="32"/>
          <w:szCs w:val="32"/>
        </w:rPr>
        <w:t>招标人有下列情形之一的，由有关行政监督部门责令改正，可以处10万元以下的罚款：</w:t>
      </w:r>
    </w:p>
    <w:p w14:paraId="0047DF5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(一)依法应当公开招标而采用邀请招标；</w:t>
      </w:r>
    </w:p>
    <w:p w14:paraId="700C779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(二)招标文件、资格预审文件的发售、澄清、修改的时限，或者确定的提交资格预审申请文件、投标文件的时限不符合招标投标法和本条例规定；</w:t>
      </w:r>
    </w:p>
    <w:p w14:paraId="0C00222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(三)接受未通过资格预审的单位或者个人参加投标；</w:t>
      </w:r>
    </w:p>
    <w:p w14:paraId="0D84AC0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(四)接受应当拒收的投标文件。</w:t>
      </w:r>
    </w:p>
    <w:p w14:paraId="5D50AF2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招标人有前款第一项、第三项、第四项所列行为之一的，对单位直接负责的主管人员和其他直接责任人员依法给予处分。</w:t>
      </w:r>
    </w:p>
    <w:p w14:paraId="2C3CB2D7">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第六十五条　</w:t>
      </w:r>
      <w:r>
        <w:rPr>
          <w:rFonts w:ascii="Times New Roman" w:hAnsi="Times New Roman" w:eastAsia="仿宋_GB2312" w:cs="Times New Roman"/>
          <w:sz w:val="32"/>
          <w:szCs w:val="32"/>
        </w:rPr>
        <w:t>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14:paraId="01D41F9B">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第六十六条　</w:t>
      </w:r>
      <w:r>
        <w:rPr>
          <w:rFonts w:ascii="Times New Roman" w:hAnsi="Times New Roman" w:eastAsia="仿宋_GB2312" w:cs="Times New Roman"/>
          <w:sz w:val="32"/>
          <w:szCs w:val="32"/>
        </w:rPr>
        <w:t>招标人超过本条例规定的比例收取投标保证金、履约保证金或者不按照规定退还投标保证金及银行同期存款利息的，由有关行政监督部门责令改正，可以处5万元以下的罚款；给他人造成损失的，依法承担赔偿责任。</w:t>
      </w:r>
    </w:p>
    <w:p w14:paraId="12B6EA23">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第六十七条　</w:t>
      </w:r>
      <w:r>
        <w:rPr>
          <w:rFonts w:ascii="Times New Roman" w:hAnsi="Times New Roman" w:eastAsia="仿宋_GB2312" w:cs="Times New Roman"/>
          <w:sz w:val="32"/>
          <w:szCs w:val="32"/>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18806E4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投标人有下列行为之一的，属于招标投标法第五十三条规定的情节严重行为，由有关行政监督部门取消其1年至2年内参加依法必须进行招标的项目的投标资格：</w:t>
      </w:r>
    </w:p>
    <w:p w14:paraId="455055A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(一)以行贿谋取中标；</w:t>
      </w:r>
    </w:p>
    <w:p w14:paraId="42F3B44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(二)3年内2次以上串通投标；</w:t>
      </w:r>
    </w:p>
    <w:p w14:paraId="17A90E9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(三)串通投标行为损害招标人、其他投标人或者国家、集体、公民的合法利益，造成直接经济损失30万元以上；</w:t>
      </w:r>
    </w:p>
    <w:p w14:paraId="3D42FAA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(四)其他串通投标情节严重的行为。</w:t>
      </w:r>
    </w:p>
    <w:p w14:paraId="579CB1C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投标人自本条第二款规定的处罚执行期限届满之日起3年内又有该款所列违法行为之一的，或者串通投标、以行贿谋取中标情节特别严重的，由工商行政管理机关吊销营业执照。</w:t>
      </w:r>
    </w:p>
    <w:p w14:paraId="64E3F20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法律、行政法规对串通投标报价行为的处罚另有规定的，从其规定。</w:t>
      </w:r>
    </w:p>
    <w:p w14:paraId="67F3B520">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第六十八条　</w:t>
      </w:r>
      <w:r>
        <w:rPr>
          <w:rFonts w:ascii="Times New Roman" w:hAnsi="Times New Roman" w:eastAsia="仿宋_GB2312" w:cs="Times New Roman"/>
          <w:sz w:val="32"/>
          <w:szCs w:val="32"/>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18A9F48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投标人有下列行为之一的，属于招标投标法第五十四条规定的情节严重行为，由有关行政监督部门取消其1年至3年内参加依法必须进行招标的项目的投标资格：</w:t>
      </w:r>
    </w:p>
    <w:p w14:paraId="3C87F1B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(一)伪造、变造资格、资质证书或者其他许可证件骗取中标；</w:t>
      </w:r>
    </w:p>
    <w:p w14:paraId="07A6A96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(二)3年内2次以上使用他人名义投标；</w:t>
      </w:r>
    </w:p>
    <w:p w14:paraId="7DC035E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(三)弄虚作假骗取中标给招标人造成直接经济损失30万元以上；</w:t>
      </w:r>
    </w:p>
    <w:p w14:paraId="3BF781A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(四)其他弄虚作假骗取中标情节严重的行为。</w:t>
      </w:r>
    </w:p>
    <w:p w14:paraId="17F5BDC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投标人自本条第二款规定的处罚执行期限届满之日起3年内又有该款所列违法行为之一的，或者弄虚作假骗取中标情节特别严重的，由工商行政管理机关吊销营业执照。</w:t>
      </w:r>
    </w:p>
    <w:p w14:paraId="083FF3F6">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第六十九条　</w:t>
      </w:r>
      <w:r>
        <w:rPr>
          <w:rFonts w:ascii="Times New Roman" w:hAnsi="Times New Roman" w:eastAsia="仿宋_GB2312" w:cs="Times New Roman"/>
          <w:sz w:val="32"/>
          <w:szCs w:val="32"/>
        </w:rPr>
        <w:t>出让或者出租资格、资质证书供他人投标的，依照法律、行政法规的规定给予行政处罚；构成犯罪的，依法追究刑事责任。</w:t>
      </w:r>
    </w:p>
    <w:p w14:paraId="52756E4C">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第七十条　</w:t>
      </w:r>
      <w:r>
        <w:rPr>
          <w:rFonts w:ascii="Times New Roman" w:hAnsi="Times New Roman" w:eastAsia="仿宋_GB2312" w:cs="Times New Roman"/>
          <w:sz w:val="32"/>
          <w:szCs w:val="32"/>
        </w:rPr>
        <w:t>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14:paraId="771F5B4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国家工作人员以任何方式非法干涉选取评标委员会成员的，依照本条例第八十条的规定追究法律责任。</w:t>
      </w:r>
    </w:p>
    <w:p w14:paraId="4DC066DF">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第七十一条　</w:t>
      </w:r>
      <w:r>
        <w:rPr>
          <w:rFonts w:ascii="Times New Roman" w:hAnsi="Times New Roman" w:eastAsia="仿宋_GB2312" w:cs="Times New Roman"/>
          <w:sz w:val="32"/>
          <w:szCs w:val="32"/>
        </w:rPr>
        <w:t>评标委员会成员有下列行为之一的，由有关行政监督部门责令改正；情节严重的，禁止其在一定期限内参加依法必须进行招标的项目的评标；情节特别严重的，取消其担任评标委员会成员的资格：</w:t>
      </w:r>
    </w:p>
    <w:p w14:paraId="509EC43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(一)应当回避而不回避；</w:t>
      </w:r>
    </w:p>
    <w:p w14:paraId="0469944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(二)擅离职守；</w:t>
      </w:r>
    </w:p>
    <w:p w14:paraId="7CA507B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(三)不按照招标文件规定的评标标准和方法评标；</w:t>
      </w:r>
    </w:p>
    <w:p w14:paraId="36993D7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(四)私下接触投标人；</w:t>
      </w:r>
    </w:p>
    <w:p w14:paraId="7B8BDE1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(五)向招标人征询确定中标人的意向或者接受任何单位或者个人明示或者暗示提出的倾向或者排斥特定投标人的要求；</w:t>
      </w:r>
    </w:p>
    <w:p w14:paraId="14BF78B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(六)对依法应当否决的投标不提出否决意见；</w:t>
      </w:r>
    </w:p>
    <w:p w14:paraId="2FC1938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(七)暗示或者诱导投标人作出澄清、说明或者接受投标人主动提出的澄清、说明；</w:t>
      </w:r>
    </w:p>
    <w:p w14:paraId="59C93DD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(八)其他不客观、不公正履行职务的行为。</w:t>
      </w:r>
    </w:p>
    <w:p w14:paraId="15E89FC5">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第七十二条　</w:t>
      </w:r>
      <w:r>
        <w:rPr>
          <w:rFonts w:ascii="Times New Roman" w:hAnsi="Times New Roman" w:eastAsia="仿宋_GB2312" w:cs="Times New Roman"/>
          <w:sz w:val="32"/>
          <w:szCs w:val="32"/>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p w14:paraId="534C0E98">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第七十三条　</w:t>
      </w:r>
      <w:r>
        <w:rPr>
          <w:rFonts w:ascii="Times New Roman" w:hAnsi="Times New Roman" w:eastAsia="仿宋_GB2312" w:cs="Times New Roman"/>
          <w:sz w:val="32"/>
          <w:szCs w:val="32"/>
        </w:rPr>
        <w:t>依法必须进行招标的项目的招标人有下列情形之一的，由有关行政监督部门责令改正，可以处中标项目金额10</w:t>
      </w:r>
      <w:r>
        <w:rPr>
          <w:rFonts w:hAnsi="宋体" w:eastAsia="仿宋_GB2312" w:cs="Times New Roman"/>
          <w:sz w:val="32"/>
          <w:szCs w:val="32"/>
        </w:rPr>
        <w:t>‰</w:t>
      </w:r>
      <w:r>
        <w:rPr>
          <w:rFonts w:ascii="Times New Roman" w:hAnsi="Times New Roman" w:eastAsia="仿宋_GB2312" w:cs="Times New Roman"/>
          <w:sz w:val="32"/>
          <w:szCs w:val="32"/>
        </w:rPr>
        <w:t>以下的罚款；给他人造成损失的，依法承担赔偿责任；对单位直接负责的主管人员和其他直接责任人员依法给予处分：</w:t>
      </w:r>
    </w:p>
    <w:p w14:paraId="1ED58307">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(一)无正当理由不发出中标通知书；</w:t>
      </w:r>
    </w:p>
    <w:p w14:paraId="1224BA8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(二)不按照规定确定中标人；</w:t>
      </w:r>
    </w:p>
    <w:p w14:paraId="071B689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(三)中标通知书发出后无正当理由改变中标结果；</w:t>
      </w:r>
    </w:p>
    <w:p w14:paraId="7A65E15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(四)无正当理由不与中标人订立合同；</w:t>
      </w:r>
    </w:p>
    <w:p w14:paraId="2D94BF0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(五)在订立合同时向中标人提出附加条件。</w:t>
      </w:r>
    </w:p>
    <w:p w14:paraId="1041ED74">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第七十四条　</w:t>
      </w:r>
      <w:r>
        <w:rPr>
          <w:rFonts w:ascii="Times New Roman" w:hAnsi="Times New Roman" w:eastAsia="仿宋_GB2312" w:cs="Times New Roman"/>
          <w:sz w:val="32"/>
          <w:szCs w:val="32"/>
        </w:rPr>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w:t>
      </w:r>
      <w:r>
        <w:rPr>
          <w:rFonts w:hAnsi="宋体" w:eastAsia="仿宋_GB2312" w:cs="Times New Roman"/>
          <w:sz w:val="32"/>
          <w:szCs w:val="32"/>
        </w:rPr>
        <w:t>‰</w:t>
      </w:r>
      <w:r>
        <w:rPr>
          <w:rFonts w:ascii="Times New Roman" w:hAnsi="Times New Roman" w:eastAsia="仿宋_GB2312" w:cs="Times New Roman"/>
          <w:sz w:val="32"/>
          <w:szCs w:val="32"/>
        </w:rPr>
        <w:t>以下的罚款。</w:t>
      </w:r>
    </w:p>
    <w:p w14:paraId="621CDA2D">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第七十五条　</w:t>
      </w:r>
      <w:r>
        <w:rPr>
          <w:rFonts w:ascii="Times New Roman" w:hAnsi="Times New Roman" w:eastAsia="仿宋_GB2312" w:cs="Times New Roman"/>
          <w:sz w:val="32"/>
          <w:szCs w:val="32"/>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w:t>
      </w:r>
      <w:r>
        <w:rPr>
          <w:rFonts w:hAnsi="宋体" w:eastAsia="仿宋_GB2312" w:cs="Times New Roman"/>
          <w:sz w:val="32"/>
          <w:szCs w:val="32"/>
        </w:rPr>
        <w:t>‰</w:t>
      </w:r>
      <w:r>
        <w:rPr>
          <w:rFonts w:ascii="Times New Roman" w:hAnsi="Times New Roman" w:eastAsia="仿宋_GB2312" w:cs="Times New Roman"/>
          <w:sz w:val="32"/>
          <w:szCs w:val="32"/>
        </w:rPr>
        <w:t>以上10</w:t>
      </w:r>
      <w:r>
        <w:rPr>
          <w:rFonts w:hAnsi="宋体" w:eastAsia="仿宋_GB2312" w:cs="Times New Roman"/>
          <w:sz w:val="32"/>
          <w:szCs w:val="32"/>
        </w:rPr>
        <w:t>‰</w:t>
      </w:r>
      <w:r>
        <w:rPr>
          <w:rFonts w:ascii="Times New Roman" w:hAnsi="Times New Roman" w:eastAsia="仿宋_GB2312" w:cs="Times New Roman"/>
          <w:sz w:val="32"/>
          <w:szCs w:val="32"/>
        </w:rPr>
        <w:t>以下的罚款。</w:t>
      </w:r>
    </w:p>
    <w:p w14:paraId="75404204">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第七十六条　</w:t>
      </w:r>
      <w:r>
        <w:rPr>
          <w:rFonts w:ascii="Times New Roman" w:hAnsi="Times New Roman" w:eastAsia="仿宋_GB2312" w:cs="Times New Roman"/>
          <w:sz w:val="32"/>
          <w:szCs w:val="32"/>
        </w:rPr>
        <w:t>中标人将中标项目转让给他人的，将中标项目肢解后分别转让给他人的，违反招标投标法和本条例规定将中标项目的部分主体、关键性工作分包给他人的，或者分包人再次分包的，转让、分包无效，处转让、分包项目金额5</w:t>
      </w:r>
      <w:r>
        <w:rPr>
          <w:rFonts w:hAnsi="宋体" w:eastAsia="仿宋_GB2312" w:cs="Times New Roman"/>
          <w:sz w:val="32"/>
          <w:szCs w:val="32"/>
        </w:rPr>
        <w:t>‰</w:t>
      </w:r>
      <w:r>
        <w:rPr>
          <w:rFonts w:ascii="Times New Roman" w:hAnsi="Times New Roman" w:eastAsia="仿宋_GB2312" w:cs="Times New Roman"/>
          <w:sz w:val="32"/>
          <w:szCs w:val="32"/>
        </w:rPr>
        <w:t>以上10</w:t>
      </w:r>
      <w:r>
        <w:rPr>
          <w:rFonts w:hAnsi="宋体" w:eastAsia="仿宋_GB2312" w:cs="Times New Roman"/>
          <w:sz w:val="32"/>
          <w:szCs w:val="32"/>
        </w:rPr>
        <w:t>‰</w:t>
      </w:r>
      <w:r>
        <w:rPr>
          <w:rFonts w:ascii="Times New Roman" w:hAnsi="Times New Roman" w:eastAsia="仿宋_GB2312" w:cs="Times New Roman"/>
          <w:sz w:val="32"/>
          <w:szCs w:val="32"/>
        </w:rPr>
        <w:t>以下的罚款；有违法所得的，并处没收违法所得；可以责令停业整顿；情节严重的，由工商行政管理机关吊销营业执照。</w:t>
      </w:r>
    </w:p>
    <w:p w14:paraId="6C5DEA3C">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第七十七条　</w:t>
      </w:r>
      <w:r>
        <w:rPr>
          <w:rFonts w:ascii="Times New Roman" w:hAnsi="Times New Roman" w:eastAsia="仿宋_GB2312" w:cs="Times New Roman"/>
          <w:sz w:val="32"/>
          <w:szCs w:val="32"/>
        </w:rPr>
        <w:t>投标人或者其他利害关系人捏造事实、伪造材料或者以非法手段取得证明材料进行投诉，给他人造成损失的，依法承担赔偿责任。</w:t>
      </w:r>
    </w:p>
    <w:p w14:paraId="1261DC9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招标人不按照规定对异议作出答复，继续进行招标投标活动的，由有关行政监督部门责令改正，拒不改正或者不能改正并影响中标结果的，依照本条例第八十一条的规定处理。</w:t>
      </w:r>
    </w:p>
    <w:p w14:paraId="264D2D4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第七十八条　</w:t>
      </w:r>
      <w:r>
        <w:rPr>
          <w:rFonts w:ascii="Times New Roman" w:hAnsi="Times New Roman" w:eastAsia="仿宋_GB2312" w:cs="Times New Roman"/>
          <w:sz w:val="32"/>
          <w:szCs w:val="32"/>
        </w:rPr>
        <w:t>国家建立招标投标信用制度。有关行政监督部门应当依法公告对招标人、招标代理机构、投标人、评标委员会成员等当事人违法行为的行政处理决定。</w:t>
      </w:r>
    </w:p>
    <w:p w14:paraId="72C5CBEF">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第七十九条　</w:t>
      </w:r>
      <w:r>
        <w:rPr>
          <w:rFonts w:ascii="Times New Roman" w:hAnsi="Times New Roman" w:eastAsia="仿宋_GB2312" w:cs="Times New Roman"/>
          <w:sz w:val="32"/>
          <w:szCs w:val="32"/>
        </w:rPr>
        <w:t>项目审批、核准部门不依法审批、核准项目招标范围、招标方式、招标组织形式的，对单位直接负责的主管人员和其他直接责任人员依法给予处分。</w:t>
      </w:r>
    </w:p>
    <w:p w14:paraId="2E76279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w:t>
      </w:r>
    </w:p>
    <w:p w14:paraId="2B5FFA8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项目审批、核准部门和有关行政监督部门的工作人员徇私舞弊、滥用职权、玩忽职守，构成犯罪的，依法追究刑事责任。</w:t>
      </w:r>
    </w:p>
    <w:p w14:paraId="7D7B03A7">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第八十条　</w:t>
      </w:r>
      <w:r>
        <w:rPr>
          <w:rFonts w:ascii="Times New Roman" w:hAnsi="Times New Roman" w:eastAsia="仿宋_GB2312" w:cs="Times New Roman"/>
          <w:sz w:val="32"/>
          <w:szCs w:val="32"/>
        </w:rPr>
        <w:t>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14:paraId="26EE273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(一)要求对依法必须进行招标的项目不招标，或者要求对依法应当公开招标的项目不公开招标；</w:t>
      </w:r>
    </w:p>
    <w:p w14:paraId="1BAE289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(二)要求评标委员会成员或者招标人以其指定的投标人作为中标候选人或者中标人，或者以其他方式非法干涉评标活动，影响中标结果；</w:t>
      </w:r>
    </w:p>
    <w:p w14:paraId="34071EA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(三)以其他方式非法干涉招标投标活动。</w:t>
      </w:r>
    </w:p>
    <w:p w14:paraId="5F76B50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第八十一条　</w:t>
      </w:r>
      <w:r>
        <w:rPr>
          <w:rFonts w:ascii="Times New Roman" w:hAnsi="Times New Roman" w:eastAsia="仿宋_GB2312" w:cs="Times New Roman"/>
          <w:sz w:val="32"/>
          <w:szCs w:val="32"/>
        </w:rPr>
        <w:t>依法必须进行招标的项目的招标投标活动违反招标投标法和本条例的规定，对中标结果造成实质性影响，且不能采取补救措施予以纠正的，招标、投标、中标无效，应当依法重新招标或者评标。</w:t>
      </w:r>
    </w:p>
    <w:p w14:paraId="2097AFB2">
      <w:pPr>
        <w:pStyle w:val="3"/>
        <w:bidi w:val="0"/>
      </w:pPr>
      <w:r>
        <w:t>第七章　附则</w:t>
      </w:r>
    </w:p>
    <w:p w14:paraId="0E0BDFF7">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第八十二条　</w:t>
      </w:r>
      <w:r>
        <w:rPr>
          <w:rFonts w:ascii="Times New Roman" w:hAnsi="Times New Roman" w:eastAsia="仿宋_GB2312" w:cs="Times New Roman"/>
          <w:sz w:val="32"/>
          <w:szCs w:val="32"/>
        </w:rPr>
        <w:t>招标投标协会按照依法制定的章程开展活动，加强行业自律和服务。</w:t>
      </w:r>
    </w:p>
    <w:p w14:paraId="4F5C2E68">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第八十三条　</w:t>
      </w:r>
      <w:r>
        <w:rPr>
          <w:rFonts w:ascii="Times New Roman" w:hAnsi="Times New Roman" w:eastAsia="仿宋_GB2312" w:cs="Times New Roman"/>
          <w:sz w:val="32"/>
          <w:szCs w:val="32"/>
        </w:rPr>
        <w:t>政府采购的法律、行政法规对政府采购货物、服务的招标投标另有规定的，从其规定。</w:t>
      </w:r>
    </w:p>
    <w:p w14:paraId="70DFBE72">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第八十四条　</w:t>
      </w:r>
      <w:r>
        <w:rPr>
          <w:rFonts w:ascii="Times New Roman" w:hAnsi="Times New Roman" w:eastAsia="仿宋_GB2312" w:cs="Times New Roman"/>
          <w:sz w:val="32"/>
          <w:szCs w:val="32"/>
        </w:rPr>
        <w:t>本条例自2012年2月1日起施行。</w:t>
      </w:r>
    </w:p>
    <w:p w14:paraId="6E27ECB7">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41">
      <wne:acd wne:acdName="acd0"/>
    </wne:keymap>
  </wne:keymaps>
  <wne:acds>
    <wne:acd wne:argValue="AQAAAAI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FE82A">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272B1EE">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pRwrzgAQAAuQMAAA4AAAAA&#10;AAAAAQAgAAAAHgEAAGRycy9lMm9Eb2MueG1sUEsFBgAAAAAGAAYAWQEAAHAFAAAAAA==&#10;">
              <v:fill on="f" focussize="0,0"/>
              <v:stroke on="f"/>
              <v:imagedata o:title=""/>
              <o:lock v:ext="edit" aspectratio="f"/>
              <v:textbox inset="0mm,0mm,0mm,0mm" style="mso-fit-shape-to-text:t;">
                <w:txbxContent>
                  <w:p w14:paraId="6272B1EE">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4645ADE"/>
    <w:rsid w:val="051529ED"/>
    <w:rsid w:val="05700A86"/>
    <w:rsid w:val="058213F7"/>
    <w:rsid w:val="06A0228E"/>
    <w:rsid w:val="06E72AA9"/>
    <w:rsid w:val="07405EF4"/>
    <w:rsid w:val="0788080A"/>
    <w:rsid w:val="07E71367"/>
    <w:rsid w:val="08BC05A4"/>
    <w:rsid w:val="08FF0C17"/>
    <w:rsid w:val="093F4578"/>
    <w:rsid w:val="094845F0"/>
    <w:rsid w:val="094B2F3B"/>
    <w:rsid w:val="0963250F"/>
    <w:rsid w:val="09723D9C"/>
    <w:rsid w:val="097F7BAD"/>
    <w:rsid w:val="09933276"/>
    <w:rsid w:val="09B60066"/>
    <w:rsid w:val="0A6920EC"/>
    <w:rsid w:val="0A8C2526"/>
    <w:rsid w:val="0AE962F4"/>
    <w:rsid w:val="0AEB2A0D"/>
    <w:rsid w:val="0B1D5B42"/>
    <w:rsid w:val="0B3D0578"/>
    <w:rsid w:val="0C255D01"/>
    <w:rsid w:val="0C297D97"/>
    <w:rsid w:val="0CD74830"/>
    <w:rsid w:val="0D3C4224"/>
    <w:rsid w:val="0D610029"/>
    <w:rsid w:val="0D88679D"/>
    <w:rsid w:val="0DA124C6"/>
    <w:rsid w:val="0DFE10B9"/>
    <w:rsid w:val="0E271FAC"/>
    <w:rsid w:val="0F795A64"/>
    <w:rsid w:val="0F8C23DC"/>
    <w:rsid w:val="0FB80839"/>
    <w:rsid w:val="10231F50"/>
    <w:rsid w:val="107A4DEE"/>
    <w:rsid w:val="10A47D69"/>
    <w:rsid w:val="10BC7241"/>
    <w:rsid w:val="11366EEC"/>
    <w:rsid w:val="11A80578"/>
    <w:rsid w:val="12146020"/>
    <w:rsid w:val="12C10B30"/>
    <w:rsid w:val="132A0E0F"/>
    <w:rsid w:val="134A1994"/>
    <w:rsid w:val="136642BB"/>
    <w:rsid w:val="13B422AD"/>
    <w:rsid w:val="13E76AEC"/>
    <w:rsid w:val="142327B5"/>
    <w:rsid w:val="14484CDF"/>
    <w:rsid w:val="155E2CB3"/>
    <w:rsid w:val="157124FD"/>
    <w:rsid w:val="15B17054"/>
    <w:rsid w:val="16173655"/>
    <w:rsid w:val="16CE3C1D"/>
    <w:rsid w:val="16E85B46"/>
    <w:rsid w:val="174517D7"/>
    <w:rsid w:val="17882BA9"/>
    <w:rsid w:val="1839361A"/>
    <w:rsid w:val="18413C16"/>
    <w:rsid w:val="18971E78"/>
    <w:rsid w:val="1957540A"/>
    <w:rsid w:val="198A0A54"/>
    <w:rsid w:val="19964E88"/>
    <w:rsid w:val="19B07609"/>
    <w:rsid w:val="19DB6C33"/>
    <w:rsid w:val="1A970B23"/>
    <w:rsid w:val="1ABC528A"/>
    <w:rsid w:val="1AD37242"/>
    <w:rsid w:val="1BAF2172"/>
    <w:rsid w:val="1BE76283"/>
    <w:rsid w:val="1C9212F7"/>
    <w:rsid w:val="1CC66F24"/>
    <w:rsid w:val="1D3C1240"/>
    <w:rsid w:val="1D721751"/>
    <w:rsid w:val="1D7404F2"/>
    <w:rsid w:val="1DA140F8"/>
    <w:rsid w:val="1DCA1DED"/>
    <w:rsid w:val="1FC77103"/>
    <w:rsid w:val="1FD764D6"/>
    <w:rsid w:val="1FE16FBA"/>
    <w:rsid w:val="201E2809"/>
    <w:rsid w:val="20363746"/>
    <w:rsid w:val="2037230C"/>
    <w:rsid w:val="2069138A"/>
    <w:rsid w:val="2096095A"/>
    <w:rsid w:val="20D86240"/>
    <w:rsid w:val="21CE0F2E"/>
    <w:rsid w:val="221D0BEA"/>
    <w:rsid w:val="22D25CC3"/>
    <w:rsid w:val="22DD4281"/>
    <w:rsid w:val="233D1D87"/>
    <w:rsid w:val="24263C7F"/>
    <w:rsid w:val="25305268"/>
    <w:rsid w:val="253620CC"/>
    <w:rsid w:val="25447BB7"/>
    <w:rsid w:val="25981EEB"/>
    <w:rsid w:val="25BF3D61"/>
    <w:rsid w:val="25F044FF"/>
    <w:rsid w:val="26A760E3"/>
    <w:rsid w:val="26C10A61"/>
    <w:rsid w:val="26CA1A3A"/>
    <w:rsid w:val="26DF6D2B"/>
    <w:rsid w:val="27680A3B"/>
    <w:rsid w:val="27A96F19"/>
    <w:rsid w:val="27AA7EE7"/>
    <w:rsid w:val="2834230D"/>
    <w:rsid w:val="287A18EA"/>
    <w:rsid w:val="28F8723D"/>
    <w:rsid w:val="29C6133F"/>
    <w:rsid w:val="2A07678E"/>
    <w:rsid w:val="2A887699"/>
    <w:rsid w:val="2A8D0D45"/>
    <w:rsid w:val="2B01664D"/>
    <w:rsid w:val="2B541C37"/>
    <w:rsid w:val="2C7458A4"/>
    <w:rsid w:val="2CD50485"/>
    <w:rsid w:val="2D644059"/>
    <w:rsid w:val="2DBE0D65"/>
    <w:rsid w:val="2DDE6B1E"/>
    <w:rsid w:val="2E1B43B4"/>
    <w:rsid w:val="2E5D5F12"/>
    <w:rsid w:val="2ED32E01"/>
    <w:rsid w:val="2F3D2B20"/>
    <w:rsid w:val="2FB37B4F"/>
    <w:rsid w:val="2FC623A5"/>
    <w:rsid w:val="2FF20DF5"/>
    <w:rsid w:val="309802D5"/>
    <w:rsid w:val="30F05BF5"/>
    <w:rsid w:val="318138A8"/>
    <w:rsid w:val="31F05688"/>
    <w:rsid w:val="320E2B0A"/>
    <w:rsid w:val="32252208"/>
    <w:rsid w:val="3242780E"/>
    <w:rsid w:val="330D4027"/>
    <w:rsid w:val="3330356C"/>
    <w:rsid w:val="33CF5811"/>
    <w:rsid w:val="34031BBE"/>
    <w:rsid w:val="347F2CDC"/>
    <w:rsid w:val="349C60FB"/>
    <w:rsid w:val="35095248"/>
    <w:rsid w:val="35445EBC"/>
    <w:rsid w:val="355560D1"/>
    <w:rsid w:val="3570564D"/>
    <w:rsid w:val="369308C2"/>
    <w:rsid w:val="36C005B9"/>
    <w:rsid w:val="37467200"/>
    <w:rsid w:val="38455149"/>
    <w:rsid w:val="384630E2"/>
    <w:rsid w:val="384D3656"/>
    <w:rsid w:val="38651841"/>
    <w:rsid w:val="386D21AD"/>
    <w:rsid w:val="387E7233"/>
    <w:rsid w:val="38DB27ED"/>
    <w:rsid w:val="39523766"/>
    <w:rsid w:val="39C71577"/>
    <w:rsid w:val="3A7915E5"/>
    <w:rsid w:val="3B1265AF"/>
    <w:rsid w:val="3B596812"/>
    <w:rsid w:val="3BA0652C"/>
    <w:rsid w:val="3C372D12"/>
    <w:rsid w:val="3C462D83"/>
    <w:rsid w:val="3C8B70E7"/>
    <w:rsid w:val="3C9E6CA9"/>
    <w:rsid w:val="3CA23060"/>
    <w:rsid w:val="3CAF6F9F"/>
    <w:rsid w:val="3CDF39C7"/>
    <w:rsid w:val="3D762392"/>
    <w:rsid w:val="3DFC6899"/>
    <w:rsid w:val="3E3675FB"/>
    <w:rsid w:val="3E4263F0"/>
    <w:rsid w:val="3E5905A0"/>
    <w:rsid w:val="3E90626E"/>
    <w:rsid w:val="3EEC1919"/>
    <w:rsid w:val="3EEF1030"/>
    <w:rsid w:val="3F7A28E8"/>
    <w:rsid w:val="3F800236"/>
    <w:rsid w:val="3F8C783C"/>
    <w:rsid w:val="3FC97A54"/>
    <w:rsid w:val="40226A0B"/>
    <w:rsid w:val="40C1378F"/>
    <w:rsid w:val="40DC5AC3"/>
    <w:rsid w:val="40E97848"/>
    <w:rsid w:val="40F66CF8"/>
    <w:rsid w:val="40FE47B4"/>
    <w:rsid w:val="41B857FD"/>
    <w:rsid w:val="429465D8"/>
    <w:rsid w:val="43110E6A"/>
    <w:rsid w:val="431B4937"/>
    <w:rsid w:val="433521F0"/>
    <w:rsid w:val="434336CE"/>
    <w:rsid w:val="4361706F"/>
    <w:rsid w:val="438C3ED2"/>
    <w:rsid w:val="43C36003"/>
    <w:rsid w:val="43CA1521"/>
    <w:rsid w:val="43D46F84"/>
    <w:rsid w:val="444B0E8A"/>
    <w:rsid w:val="454D6241"/>
    <w:rsid w:val="455C671E"/>
    <w:rsid w:val="45866A2B"/>
    <w:rsid w:val="45D51915"/>
    <w:rsid w:val="46D80A88"/>
    <w:rsid w:val="46EE0064"/>
    <w:rsid w:val="473B7862"/>
    <w:rsid w:val="47793996"/>
    <w:rsid w:val="47A250A3"/>
    <w:rsid w:val="48427C49"/>
    <w:rsid w:val="48AC4D69"/>
    <w:rsid w:val="48E417D9"/>
    <w:rsid w:val="494B3B16"/>
    <w:rsid w:val="49C224BB"/>
    <w:rsid w:val="4A491890"/>
    <w:rsid w:val="4A4F5FBC"/>
    <w:rsid w:val="4A732A37"/>
    <w:rsid w:val="4AD87480"/>
    <w:rsid w:val="4B2E2D61"/>
    <w:rsid w:val="4C062CA1"/>
    <w:rsid w:val="4C625B7B"/>
    <w:rsid w:val="4CF75612"/>
    <w:rsid w:val="4D7C1855"/>
    <w:rsid w:val="4DC87E21"/>
    <w:rsid w:val="4E4E7955"/>
    <w:rsid w:val="4E6A2FDF"/>
    <w:rsid w:val="4EDF3D2B"/>
    <w:rsid w:val="4EED79F5"/>
    <w:rsid w:val="4F6F620F"/>
    <w:rsid w:val="4FC943E8"/>
    <w:rsid w:val="5080370D"/>
    <w:rsid w:val="512A1D93"/>
    <w:rsid w:val="5146198F"/>
    <w:rsid w:val="51603FEC"/>
    <w:rsid w:val="51F44E31"/>
    <w:rsid w:val="523F45D1"/>
    <w:rsid w:val="524F6E89"/>
    <w:rsid w:val="52695AB4"/>
    <w:rsid w:val="529D4C7B"/>
    <w:rsid w:val="52A14CE2"/>
    <w:rsid w:val="53BF5C69"/>
    <w:rsid w:val="53DA0A43"/>
    <w:rsid w:val="53FC427A"/>
    <w:rsid w:val="54031803"/>
    <w:rsid w:val="54942BB0"/>
    <w:rsid w:val="554B0B10"/>
    <w:rsid w:val="55B865F8"/>
    <w:rsid w:val="55C0390E"/>
    <w:rsid w:val="55D520AC"/>
    <w:rsid w:val="566F7832"/>
    <w:rsid w:val="56E91124"/>
    <w:rsid w:val="575D4E2E"/>
    <w:rsid w:val="577F6B33"/>
    <w:rsid w:val="57BF534F"/>
    <w:rsid w:val="58035B31"/>
    <w:rsid w:val="58963022"/>
    <w:rsid w:val="58F6185E"/>
    <w:rsid w:val="591257DC"/>
    <w:rsid w:val="59240698"/>
    <w:rsid w:val="5B353B99"/>
    <w:rsid w:val="5B431574"/>
    <w:rsid w:val="5B6D42C1"/>
    <w:rsid w:val="5C223266"/>
    <w:rsid w:val="5D0B40ED"/>
    <w:rsid w:val="5D101449"/>
    <w:rsid w:val="5DB22BFD"/>
    <w:rsid w:val="5DD739B2"/>
    <w:rsid w:val="5E4D7776"/>
    <w:rsid w:val="5E6C79BF"/>
    <w:rsid w:val="5E900D37"/>
    <w:rsid w:val="5F1B3082"/>
    <w:rsid w:val="5F5011B7"/>
    <w:rsid w:val="5F88093C"/>
    <w:rsid w:val="5F894ED0"/>
    <w:rsid w:val="5F9A3DC3"/>
    <w:rsid w:val="5FAF3982"/>
    <w:rsid w:val="5FDB251D"/>
    <w:rsid w:val="60492E1B"/>
    <w:rsid w:val="60B47BE2"/>
    <w:rsid w:val="60FB7125"/>
    <w:rsid w:val="61152047"/>
    <w:rsid w:val="620467BA"/>
    <w:rsid w:val="622D2BEC"/>
    <w:rsid w:val="62F60DE0"/>
    <w:rsid w:val="63740607"/>
    <w:rsid w:val="63DD0DD3"/>
    <w:rsid w:val="63DE7402"/>
    <w:rsid w:val="641B1D00"/>
    <w:rsid w:val="641F5EE8"/>
    <w:rsid w:val="642517C4"/>
    <w:rsid w:val="64362769"/>
    <w:rsid w:val="645F656D"/>
    <w:rsid w:val="649C0E8F"/>
    <w:rsid w:val="64CA2326"/>
    <w:rsid w:val="65152017"/>
    <w:rsid w:val="652E7954"/>
    <w:rsid w:val="65532802"/>
    <w:rsid w:val="65835492"/>
    <w:rsid w:val="65AF23C6"/>
    <w:rsid w:val="65BF6566"/>
    <w:rsid w:val="664D746C"/>
    <w:rsid w:val="665D09A7"/>
    <w:rsid w:val="665D25F4"/>
    <w:rsid w:val="66E50FB1"/>
    <w:rsid w:val="674048E2"/>
    <w:rsid w:val="67D71794"/>
    <w:rsid w:val="68267A81"/>
    <w:rsid w:val="68426F20"/>
    <w:rsid w:val="68715924"/>
    <w:rsid w:val="6A403C00"/>
    <w:rsid w:val="6A4733CF"/>
    <w:rsid w:val="6A49703B"/>
    <w:rsid w:val="6A55656F"/>
    <w:rsid w:val="6A760321"/>
    <w:rsid w:val="6A8201B0"/>
    <w:rsid w:val="6A9C7B76"/>
    <w:rsid w:val="6ADB4BA1"/>
    <w:rsid w:val="6B120859"/>
    <w:rsid w:val="6B4C7D1B"/>
    <w:rsid w:val="6C267EB4"/>
    <w:rsid w:val="6C2D563E"/>
    <w:rsid w:val="6C735E3D"/>
    <w:rsid w:val="6CD653AF"/>
    <w:rsid w:val="6D1363D3"/>
    <w:rsid w:val="6D15429C"/>
    <w:rsid w:val="6D614426"/>
    <w:rsid w:val="6D932361"/>
    <w:rsid w:val="6DA577A5"/>
    <w:rsid w:val="6DB8609B"/>
    <w:rsid w:val="6DB87D30"/>
    <w:rsid w:val="6E4D194D"/>
    <w:rsid w:val="6E804287"/>
    <w:rsid w:val="6EB30283"/>
    <w:rsid w:val="6F605325"/>
    <w:rsid w:val="6FAA67D8"/>
    <w:rsid w:val="701071F8"/>
    <w:rsid w:val="705926FD"/>
    <w:rsid w:val="70817970"/>
    <w:rsid w:val="712A6DD8"/>
    <w:rsid w:val="712B5699"/>
    <w:rsid w:val="71D16FC6"/>
    <w:rsid w:val="72A30A90"/>
    <w:rsid w:val="72AE5309"/>
    <w:rsid w:val="72C042BE"/>
    <w:rsid w:val="73160902"/>
    <w:rsid w:val="735A6A5C"/>
    <w:rsid w:val="736132F8"/>
    <w:rsid w:val="737B62A6"/>
    <w:rsid w:val="739D53B6"/>
    <w:rsid w:val="746D1278"/>
    <w:rsid w:val="74F75BA8"/>
    <w:rsid w:val="75115A88"/>
    <w:rsid w:val="75461177"/>
    <w:rsid w:val="762C29D0"/>
    <w:rsid w:val="768C0C3C"/>
    <w:rsid w:val="76975133"/>
    <w:rsid w:val="769B60FD"/>
    <w:rsid w:val="76C10F77"/>
    <w:rsid w:val="77D8678E"/>
    <w:rsid w:val="78061DFD"/>
    <w:rsid w:val="7814798C"/>
    <w:rsid w:val="7819740D"/>
    <w:rsid w:val="789F59B2"/>
    <w:rsid w:val="78E10B53"/>
    <w:rsid w:val="78ED2B64"/>
    <w:rsid w:val="7A224A32"/>
    <w:rsid w:val="7A3A1C25"/>
    <w:rsid w:val="7A4B0114"/>
    <w:rsid w:val="7A6D55E9"/>
    <w:rsid w:val="7ABD49CD"/>
    <w:rsid w:val="7B0E1BBE"/>
    <w:rsid w:val="7B956689"/>
    <w:rsid w:val="7BA85469"/>
    <w:rsid w:val="7C0E15E2"/>
    <w:rsid w:val="7C28250F"/>
    <w:rsid w:val="7C38697D"/>
    <w:rsid w:val="7C7520DF"/>
    <w:rsid w:val="7CB4297C"/>
    <w:rsid w:val="7CFB06AD"/>
    <w:rsid w:val="7D0E2676"/>
    <w:rsid w:val="7E600C51"/>
    <w:rsid w:val="7E6C694C"/>
    <w:rsid w:val="7E8622B0"/>
    <w:rsid w:val="7ECF5C5E"/>
    <w:rsid w:val="7ED17F92"/>
    <w:rsid w:val="7ED21B0C"/>
    <w:rsid w:val="7F623FAD"/>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2761</Words>
  <Characters>2782</Characters>
  <Lines>12</Lines>
  <Paragraphs>3</Paragraphs>
  <TotalTime>0</TotalTime>
  <ScaleCrop>false</ScaleCrop>
  <LinksUpToDate>false</LinksUpToDate>
  <CharactersWithSpaces>2809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K</cp:lastModifiedBy>
  <dcterms:modified xsi:type="dcterms:W3CDTF">2025-04-07T03:47:09Z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eyJoZGlkIjoiOWYyZjZmMTg5MWZiOTM4ZWFjN2FhMGEwMzhlZDgyNDEiLCJ1c2VySWQiOiI0Mzc3MTg5NzAifQ==</vt:lpwstr>
  </property>
  <property fmtid="{D5CDD505-2E9C-101B-9397-08002B2CF9AE}" pid="4" name="ICV">
    <vt:lpwstr>CDC3C6584B474277892C767D46454427_13</vt:lpwstr>
  </property>
</Properties>
</file>